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6D45D8"/>
          <w:sz w:val="30"/>
        </w:rPr>
        <w:t>CRECE IA</w:t>
      </w:r>
    </w:p>
    <w:p>
      <w:pPr>
        <w:pStyle w:val="Title"/>
        <w:jc w:val="center"/>
      </w:pPr>
      <w:r>
        <w:t>WHITEPAPER V4.0 — PÚBLICO</w:t>
      </w:r>
    </w:p>
    <w:p>
      <w:pPr>
        <w:jc w:val="center"/>
      </w:pPr>
      <w:r>
        <w:rPr>
          <w:color w:val="172033"/>
          <w:sz w:val="26"/>
        </w:rPr>
        <w:t>Inteligencia aplicada · Comunidad creadora · Economía CRECE · Soberanía tecnológica</w:t>
      </w:r>
    </w:p>
    <w:p/>
    <w:tbl>
      <w:tblPr>
        <w:tblStyle w:val="TableGrid"/>
        <w:tblW w:type="auto" w:w="0"/>
        <w:jc w:val="center"/>
        <w:tblLook w:firstColumn="1" w:firstRow="1" w:lastColumn="0" w:lastRow="0" w:noHBand="0" w:noVBand="1" w:val="04A0"/>
      </w:tblPr>
      <w:tblGrid>
        <w:gridCol w:w="5112"/>
        <w:gridCol w:w="5112"/>
      </w:tblGrid>
      <w:tr>
        <w:tc>
          <w:tcPr>
            <w:tcW w:type="dxa" w:w="5112"/>
            <w:shd w:fill="EEF3FF"/>
          </w:tcPr>
          <w:p>
            <w:r>
              <w:rPr>
                <w:b/>
              </w:rPr>
              <w:t>Director / Arquitecto</w:t>
            </w:r>
          </w:p>
        </w:tc>
        <w:tc>
          <w:tcPr>
            <w:tcW w:type="dxa" w:w="5112"/>
          </w:tcPr>
          <w:p>
            <w:r>
              <w:t>Ing. Francisco Andueza</w:t>
            </w:r>
          </w:p>
        </w:tc>
      </w:tr>
      <w:tr>
        <w:tc>
          <w:tcPr>
            <w:tcW w:type="dxa" w:w="5112"/>
            <w:shd w:fill="EEF3FF"/>
          </w:tcPr>
          <w:p>
            <w:r>
              <w:rPr>
                <w:b/>
              </w:rPr>
              <w:t>Fecha</w:t>
            </w:r>
          </w:p>
        </w:tc>
        <w:tc>
          <w:tcPr>
            <w:tcW w:type="dxa" w:w="5112"/>
          </w:tcPr>
          <w:p>
            <w:r>
              <w:t>21 de septiembre de 2026</w:t>
            </w:r>
          </w:p>
        </w:tc>
      </w:tr>
      <w:tr>
        <w:tc>
          <w:tcPr>
            <w:tcW w:type="dxa" w:w="5112"/>
            <w:shd w:fill="EEF3FF"/>
          </w:tcPr>
          <w:p>
            <w:r>
              <w:rPr>
                <w:b/>
              </w:rPr>
              <w:t>Estado</w:t>
            </w:r>
          </w:p>
        </w:tc>
        <w:tc>
          <w:tcPr>
            <w:tcW w:type="dxa" w:w="5112"/>
          </w:tcPr>
          <w:p>
            <w:r>
              <w:t>ALINEADO CON MASTER PROJECT V6.0</w:t>
            </w:r>
          </w:p>
        </w:tc>
      </w:tr>
      <w:tr>
        <w:tc>
          <w:tcPr>
            <w:tcW w:type="dxa" w:w="5112"/>
            <w:shd w:fill="EEF3FF"/>
          </w:tcPr>
          <w:p>
            <w:r>
              <w:rPr>
                <w:b/>
              </w:rPr>
              <w:t>Regla rectora</w:t>
            </w:r>
          </w:p>
        </w:tc>
        <w:tc>
          <w:tcPr>
            <w:tcW w:type="dxa" w:w="5112"/>
          </w:tcPr>
          <w:p>
            <w:r>
              <w:t>Evidencia antes de afirmaciones; Human Gate para decisiones críticas</w:t>
            </w:r>
          </w:p>
        </w:tc>
      </w:tr>
    </w:tbl>
    <w:p/>
    <w:p>
      <w:pPr>
        <w:pStyle w:val="Callout"/>
        <w:jc w:val="center"/>
      </w:pPr>
      <w:r>
        <w:t>APRENDE · CREA · CONECTA · CRECE</w:t>
      </w:r>
    </w:p>
    <w:p>
      <w:r>
        <w:br w:type="page"/>
      </w:r>
    </w:p>
    <w:p>
      <w:pPr>
        <w:pStyle w:val="Heading1"/>
      </w:pPr>
      <w:r>
        <w:t>1. Resumen ejecutivo</w:t>
      </w:r>
    </w:p>
    <w:p>
      <w:r>
        <w:t>Crece IA es un ecosistema tecnológico en construcción que busca conectar inteligencia artificial, personas, desarrolladores, empresas, conocimiento, agentes y una economía digital orientada primero a utilidad. El punto de partida siempre es un problema real; CRIS coordina capacidades para convertirlo en un resultado útil.</w:t>
      </w:r>
    </w:p>
    <w:p>
      <w:pPr>
        <w:pStyle w:val="Callout"/>
      </w:pPr>
      <w:r>
        <w:t>No buscamos construir solamente una aplicación de IA. Buscamos construir una organización tecnológica capaz de aprender, crear tecnología, distribuir oportunidades y evolucionar más allá de una sola generación.</w:t>
      </w:r>
    </w:p>
    <w:p>
      <w:pPr>
        <w:pStyle w:val="Heading1"/>
      </w:pPr>
      <w:r>
        <w:t>2. CRIS: una identidad, muchos motores</w:t>
      </w:r>
    </w:p>
    <w:p>
      <w:pPr>
        <w:pStyle w:val="ListBullet"/>
      </w:pPr>
      <w:r>
        <w:t>CRIS — Convergent Responsive Intelligence System — es la identidad coordinadora de Crece IA.</w:t>
      </w:r>
    </w:p>
    <w:p>
      <w:pPr>
        <w:pStyle w:val="ListBullet"/>
      </w:pPr>
      <w:r>
        <w:t>Los modelos externos y el Native Model son motores reemplazables.</w:t>
      </w:r>
    </w:p>
    <w:p>
      <w:pPr>
        <w:pStyle w:val="ListBullet"/>
      </w:pPr>
      <w:r>
        <w:t>Projects y memoria autorizada aportan continuidad; agentes y herramientas operan con permisos.</w:t>
      </w:r>
    </w:p>
    <w:p>
      <w:pPr>
        <w:pStyle w:val="ListBullet"/>
      </w:pPr>
      <w:r>
        <w:t>Texto, documentos, imagen, audio, voz y futuras experiencias Live se incorporan por evidencia y disponibilidad real.</w:t>
      </w:r>
    </w:p>
    <w:p>
      <w:pPr>
        <w:pStyle w:val="Heading1"/>
      </w:pPr>
      <w:r>
        <w:t>3. Un ecosistema, no una sola app</w:t>
      </w:r>
    </w:p>
    <w:tbl>
      <w:tblPr>
        <w:tblStyle w:val="TableGrid"/>
        <w:tblW w:type="auto" w:w="0"/>
        <w:jc w:val="center"/>
        <w:tblLook w:firstColumn="1" w:firstRow="1" w:lastColumn="0" w:lastRow="0" w:noHBand="0" w:noVBand="1" w:val="04A0"/>
      </w:tblPr>
      <w:tblGrid>
        <w:gridCol w:w="5112"/>
        <w:gridCol w:w="5112"/>
      </w:tblGrid>
      <w:tr>
        <w:tc>
          <w:tcPr>
            <w:tcW w:type="dxa" w:w="5112"/>
            <w:shd w:fill="2457D6"/>
          </w:tcPr>
          <w:p>
            <w:r>
              <w:rPr>
                <w:b/>
                <w:color w:val="FFFFFF"/>
                <w:sz w:val="16"/>
              </w:rPr>
              <w:t>Superficie</w:t>
            </w:r>
          </w:p>
        </w:tc>
        <w:tc>
          <w:tcPr>
            <w:tcW w:type="dxa" w:w="5112"/>
            <w:shd w:fill="2457D6"/>
          </w:tcPr>
          <w:p>
            <w:r>
              <w:rPr>
                <w:b/>
                <w:color w:val="FFFFFF"/>
                <w:sz w:val="16"/>
              </w:rPr>
              <w:t>Papel</w:t>
            </w:r>
          </w:p>
        </w:tc>
      </w:tr>
      <w:tr>
        <w:tc>
          <w:tcPr>
            <w:tcW w:type="dxa" w:w="5112"/>
            <w:vAlign w:val="center"/>
          </w:tcPr>
          <w:p>
            <w:r>
              <w:rPr>
                <w:sz w:val="16"/>
              </w:rPr>
              <w:t>Landing Pública</w:t>
            </w:r>
          </w:p>
        </w:tc>
        <w:tc>
          <w:tcPr>
            <w:tcW w:type="dxa" w:w="5112"/>
            <w:vAlign w:val="center"/>
          </w:tcPr>
          <w:p>
            <w:r>
              <w:rPr>
                <w:sz w:val="16"/>
              </w:rPr>
              <w:t>Descubrir, comprender, probar y entrar.</w:t>
            </w:r>
          </w:p>
        </w:tc>
      </w:tr>
      <w:tr>
        <w:tc>
          <w:tcPr>
            <w:tcW w:type="dxa" w:w="5112"/>
            <w:vAlign w:val="center"/>
          </w:tcPr>
          <w:p>
            <w:r>
              <w:rPr>
                <w:sz w:val="16"/>
              </w:rPr>
              <w:t>Crece IA Web</w:t>
            </w:r>
          </w:p>
        </w:tc>
        <w:tc>
          <w:tcPr>
            <w:tcW w:type="dxa" w:w="5112"/>
            <w:vAlign w:val="center"/>
          </w:tcPr>
          <w:p>
            <w:r>
              <w:rPr>
                <w:sz w:val="16"/>
              </w:rPr>
              <w:t>Trabajar con CRIS, Projects y herramientas.</w:t>
            </w:r>
          </w:p>
        </w:tc>
      </w:tr>
      <w:tr>
        <w:tc>
          <w:tcPr>
            <w:tcW w:type="dxa" w:w="5112"/>
            <w:vAlign w:val="center"/>
          </w:tcPr>
          <w:p>
            <w:r>
              <w:rPr>
                <w:sz w:val="16"/>
              </w:rPr>
              <w:t>CRIS Pocket / Telegram</w:t>
            </w:r>
          </w:p>
        </w:tc>
        <w:tc>
          <w:tcPr>
            <w:tcW w:type="dxa" w:w="5112"/>
            <w:vAlign w:val="center"/>
          </w:tcPr>
          <w:p>
            <w:r>
              <w:rPr>
                <w:sz w:val="16"/>
              </w:rPr>
              <w:t>Acceso móvil ligero.</w:t>
            </w:r>
          </w:p>
        </w:tc>
      </w:tr>
      <w:tr>
        <w:tc>
          <w:tcPr>
            <w:tcW w:type="dxa" w:w="5112"/>
            <w:vAlign w:val="center"/>
          </w:tcPr>
          <w:p>
            <w:r>
              <w:rPr>
                <w:sz w:val="16"/>
              </w:rPr>
              <w:t>Builder / Developers</w:t>
            </w:r>
          </w:p>
        </w:tc>
        <w:tc>
          <w:tcPr>
            <w:tcW w:type="dxa" w:w="5112"/>
            <w:vAlign w:val="center"/>
          </w:tcPr>
          <w:p>
            <w:r>
              <w:rPr>
                <w:sz w:val="16"/>
              </w:rPr>
              <w:t>Construir agentes, bots, workflows, apps e integraciones.</w:t>
            </w:r>
          </w:p>
        </w:tc>
      </w:tr>
      <w:tr>
        <w:tc>
          <w:tcPr>
            <w:tcW w:type="dxa" w:w="5112"/>
            <w:vAlign w:val="center"/>
          </w:tcPr>
          <w:p>
            <w:r>
              <w:rPr>
                <w:sz w:val="16"/>
              </w:rPr>
              <w:t>Hub Global + Radar IA</w:t>
            </w:r>
          </w:p>
        </w:tc>
        <w:tc>
          <w:tcPr>
            <w:tcW w:type="dxa" w:w="5112"/>
            <w:vAlign w:val="center"/>
          </w:tcPr>
          <w:p>
            <w:r>
              <w:rPr>
                <w:sz w:val="16"/>
              </w:rPr>
              <w:t>Descubrir información, noticias y oportunidades con temporalidad.</w:t>
            </w:r>
          </w:p>
        </w:tc>
      </w:tr>
      <w:tr>
        <w:tc>
          <w:tcPr>
            <w:tcW w:type="dxa" w:w="5112"/>
            <w:vAlign w:val="center"/>
          </w:tcPr>
          <w:p>
            <w:r>
              <w:rPr>
                <w:sz w:val="16"/>
              </w:rPr>
              <w:t>Academia / Profesores / AI Arcade</w:t>
            </w:r>
          </w:p>
        </w:tc>
        <w:tc>
          <w:tcPr>
            <w:tcW w:type="dxa" w:w="5112"/>
            <w:vAlign w:val="center"/>
          </w:tcPr>
          <w:p>
            <w:r>
              <w:rPr>
                <w:sz w:val="16"/>
              </w:rPr>
              <w:t>Aprender y demostrar competencias.</w:t>
            </w:r>
          </w:p>
        </w:tc>
      </w:tr>
      <w:tr>
        <w:tc>
          <w:tcPr>
            <w:tcW w:type="dxa" w:w="5112"/>
            <w:vAlign w:val="center"/>
          </w:tcPr>
          <w:p>
            <w:r>
              <w:rPr>
                <w:sz w:val="16"/>
              </w:rPr>
              <w:t>Solutions / Business</w:t>
            </w:r>
          </w:p>
        </w:tc>
        <w:tc>
          <w:tcPr>
            <w:tcW w:type="dxa" w:w="5112"/>
            <w:vAlign w:val="center"/>
          </w:tcPr>
          <w:p>
            <w:r>
              <w:rPr>
                <w:sz w:val="16"/>
              </w:rPr>
              <w:t>Resolver y operar necesidades empresariales.</w:t>
            </w:r>
          </w:p>
        </w:tc>
      </w:tr>
      <w:tr>
        <w:tc>
          <w:tcPr>
            <w:tcW w:type="dxa" w:w="5112"/>
            <w:vAlign w:val="center"/>
          </w:tcPr>
          <w:p>
            <w:r>
              <w:rPr>
                <w:sz w:val="16"/>
              </w:rPr>
              <w:t>CRIS Lab / Native</w:t>
            </w:r>
          </w:p>
        </w:tc>
        <w:tc>
          <w:tcPr>
            <w:tcW w:type="dxa" w:w="5112"/>
            <w:vAlign w:val="center"/>
          </w:tcPr>
          <w:p>
            <w:r>
              <w:rPr>
                <w:sz w:val="16"/>
              </w:rPr>
              <w:t>Investigar y desarrollar soberanía tecnológica.</w:t>
            </w:r>
          </w:p>
        </w:tc>
      </w:tr>
    </w:tbl>
    <w:p>
      <w:pPr>
        <w:pStyle w:val="Heading1"/>
      </w:pPr>
      <w:r>
        <w:t>4. Comunidad creadora, referidos y oportunidades</w:t>
      </w:r>
    </w:p>
    <w:p>
      <w:r>
        <w:t>La comunidad no se concibe solo como consumidora. Podrá proponer, evaluar, construir y mejorar componentes bajo reglas verificables.</w:t>
      </w:r>
    </w:p>
    <w:p>
      <w:pPr>
        <w:pStyle w:val="ListBullet"/>
      </w:pPr>
      <w:r>
        <w:t>Sistema de referidos: reconocer crecimiento orgánico cuando exista activación real y controles antifraude.</w:t>
      </w:r>
    </w:p>
    <w:p>
      <w:pPr>
        <w:pStyle w:val="ListBullet"/>
      </w:pPr>
      <w:r>
        <w:t>Work Exchange: tareas con alcance, recompensa, revisión y disputa.</w:t>
      </w:r>
    </w:p>
    <w:p>
      <w:pPr>
        <w:pStyle w:val="ListBullet"/>
      </w:pPr>
      <w:r>
        <w:t>Proof of Contribution: recompensar valor verificable, no actividad artificial.</w:t>
      </w:r>
    </w:p>
    <w:p>
      <w:pPr>
        <w:pStyle w:val="ListBullet"/>
      </w:pPr>
      <w:r>
        <w:t>Contributor Rank y Talent Pipeline: reputación por evidencia y posibles oportunidades futuras.</w:t>
      </w:r>
    </w:p>
    <w:p>
      <w:pPr>
        <w:pStyle w:val="ListBullet"/>
      </w:pPr>
      <w:r>
        <w:t>Idea Crece IA: canal estructurado para convertir propuestas en problemas evaluables y, cuando proceda, proyectos.</w:t>
      </w:r>
    </w:p>
    <w:p>
      <w:pPr>
        <w:pStyle w:val="Heading1"/>
      </w:pPr>
      <w:r>
        <w:t>5. Comunidad que ayuda a entrenar el Native Model</w:t>
      </w:r>
    </w:p>
    <w:p>
      <w:r>
        <w:t>Crece IA proyecta una vía para que la comunidad contribuya al aprendizaje del modelo nativo mediante ejemplos, correcciones, evaluaciones y datos elegibles sometidos a consentimiento, procedencia, curación y pruebas. La conversación ordinaria de un usuario no se convierte automáticamente en entrenamiento.</w:t>
      </w:r>
    </w:p>
    <w:p>
      <w:r>
        <w:t>También se estudia una futura red voluntaria de cómputo distribuido donde participantes puedan aportar capacidad GPU a trabajos verificables. Esta línea pertenece a I+D: requiere aislamiento, privacidad, verificación de resultados, reputación, seguridad y economía sostenible antes de convertirse en producto.</w:t>
      </w:r>
    </w:p>
    <w:p>
      <w:pPr>
        <w:pStyle w:val="Heading1"/>
      </w:pPr>
      <w:r>
        <w:t>6. CRECE: utilidad antes que especulación</w:t>
      </w:r>
    </w:p>
    <w:p>
      <w:pPr>
        <w:pStyle w:val="ListBullet"/>
      </w:pPr>
      <w:r>
        <w:t>CRECE comienza como unidad interna off-chain para consumo, capacidad, budgets y recompensas.</w:t>
      </w:r>
    </w:p>
    <w:p>
      <w:pPr>
        <w:pStyle w:val="ListBullet"/>
      </w:pPr>
      <w:r>
        <w:t>Puede distinguirse CRECE comprado de CRECE ganado por contribuciones o referidos válidos.</w:t>
      </w:r>
    </w:p>
    <w:p>
      <w:pPr>
        <w:pStyle w:val="ListBullet"/>
      </w:pPr>
      <w:r>
        <w:t>No existe paridad obligatoria 1 CRECE = 1 USD.</w:t>
      </w:r>
    </w:p>
    <w:p>
      <w:pPr>
        <w:pStyle w:val="ListBullet"/>
      </w:pPr>
      <w:r>
        <w:t>Una futura tokenización no está garantizada y dependerá de producto, demanda, seguridad, tokenomics y revisión legal.</w:t>
      </w:r>
    </w:p>
    <w:p>
      <w:pPr>
        <w:pStyle w:val="Heading1"/>
      </w:pPr>
      <w:r>
        <w:t>7. Developer Ecosystem y economía de agentes</w:t>
      </w:r>
    </w:p>
    <w:p>
      <w:r>
        <w:t>Crece IA busca que desarrolladores y empresas puedan construir sobre el ecosistema mediante Builder, APIs, SDKs, plugins, bots, webhooks y servicios autorizados. Terceros no acceden directamente al Ledger interno. Sandbox, seguridad, propiedad intelectual, licencias, soporte y privacidad forman parte de los gates.</w:t>
      </w:r>
    </w:p>
    <w:p>
      <w:pPr>
        <w:pStyle w:val="Heading1"/>
      </w:pPr>
      <w:r>
        <w:t>8. Native Model y soberanía tecnológica</w:t>
      </w:r>
    </w:p>
    <w:p>
      <w:r>
        <w:t>La línea Native busca un modelo pequeño y especializado entrenado desde inicialización aleatoria, con tokenizer, datasets, checkpoints y evals controlados por Crece IA. CRIS seguirá coordinando motores externos cuando aporten mayor capacidad. Soberanía no significa aislamiento: significa poder decidir, portar, evaluar y evolucionar tecnología propia.</w:t>
      </w:r>
    </w:p>
    <w:p>
      <w:pPr>
        <w:pStyle w:val="Heading1"/>
      </w:pPr>
      <w:r>
        <w:t>9. Infraestructura y partners</w:t>
      </w:r>
    </w:p>
    <w:p>
      <w:r>
        <w:t>La infraestructura crecerá desde cloud y recursos temporales hacia opciones híbridas, GPU propia o cómputo comunitario solo cuando utilización, costo, privacidad y soberanía lo justifiquen. Crece IA también buscará alianzas de tecnología, APIs, créditos, infraestructura, soporte y colaboración que reduzcan costo de experimentación sin crear dependencia estructural.</w:t>
      </w:r>
    </w:p>
    <w:p>
      <w:pPr>
        <w:pStyle w:val="Heading1"/>
      </w:pPr>
      <w:r>
        <w:t>10. Web3, $CRECE y Crece Chain</w:t>
      </w:r>
    </w:p>
    <w:tbl>
      <w:tblPr>
        <w:tblStyle w:val="TableGrid"/>
        <w:tblW w:type="auto" w:w="0"/>
        <w:jc w:val="center"/>
        <w:tblLook w:firstColumn="1" w:firstRow="1" w:lastColumn="0" w:lastRow="0" w:noHBand="0" w:noVBand="1" w:val="04A0"/>
      </w:tblPr>
      <w:tblGrid>
        <w:gridCol w:w="5112"/>
        <w:gridCol w:w="5112"/>
      </w:tblGrid>
      <w:tr>
        <w:tc>
          <w:tcPr>
            <w:tcW w:type="dxa" w:w="5112"/>
            <w:shd w:fill="2457D6"/>
          </w:tcPr>
          <w:p>
            <w:r>
              <w:rPr>
                <w:b/>
                <w:color w:val="FFFFFF"/>
                <w:sz w:val="16"/>
              </w:rPr>
              <w:t>Etapa</w:t>
            </w:r>
          </w:p>
        </w:tc>
        <w:tc>
          <w:tcPr>
            <w:tcW w:type="dxa" w:w="5112"/>
            <w:shd w:fill="2457D6"/>
          </w:tcPr>
          <w:p>
            <w:r>
              <w:rPr>
                <w:b/>
                <w:color w:val="FFFFFF"/>
                <w:sz w:val="16"/>
              </w:rPr>
              <w:t>Dirección</w:t>
            </w:r>
          </w:p>
        </w:tc>
      </w:tr>
      <w:tr>
        <w:tc>
          <w:tcPr>
            <w:tcW w:type="dxa" w:w="5112"/>
            <w:vAlign w:val="center"/>
          </w:tcPr>
          <w:p>
            <w:r>
              <w:rPr>
                <w:sz w:val="16"/>
              </w:rPr>
              <w:t>1</w:t>
            </w:r>
          </w:p>
        </w:tc>
        <w:tc>
          <w:tcPr>
            <w:tcW w:type="dxa" w:w="5112"/>
            <w:vAlign w:val="center"/>
          </w:tcPr>
          <w:p>
            <w:r>
              <w:rPr>
                <w:sz w:val="16"/>
              </w:rPr>
              <w:t>CRECE interno: utilidad off-chain, sin mercado público.</w:t>
            </w:r>
          </w:p>
        </w:tc>
      </w:tr>
      <w:tr>
        <w:tc>
          <w:tcPr>
            <w:tcW w:type="dxa" w:w="5112"/>
            <w:vAlign w:val="center"/>
          </w:tcPr>
          <w:p>
            <w:r>
              <w:rPr>
                <w:sz w:val="16"/>
              </w:rPr>
              <w:t>2</w:t>
            </w:r>
          </w:p>
        </w:tc>
        <w:tc>
          <w:tcPr>
            <w:tcW w:type="dxa" w:w="5112"/>
            <w:vAlign w:val="center"/>
          </w:tcPr>
          <w:p>
            <w:r>
              <w:rPr>
                <w:sz w:val="16"/>
              </w:rPr>
              <w:t>Tokenización controlada en red existente, sujeta a gates.</w:t>
            </w:r>
          </w:p>
        </w:tc>
      </w:tr>
      <w:tr>
        <w:tc>
          <w:tcPr>
            <w:tcW w:type="dxa" w:w="5112"/>
            <w:vAlign w:val="center"/>
          </w:tcPr>
          <w:p>
            <w:r>
              <w:rPr>
                <w:sz w:val="16"/>
              </w:rPr>
              <w:t>3</w:t>
            </w:r>
          </w:p>
        </w:tc>
        <w:tc>
          <w:tcPr>
            <w:tcW w:type="dxa" w:w="5112"/>
            <w:vAlign w:val="center"/>
          </w:tcPr>
          <w:p>
            <w:r>
              <w:rPr>
                <w:sz w:val="16"/>
              </w:rPr>
              <w:t>$CRECE público solo bajo Launch Gate completo.</w:t>
            </w:r>
          </w:p>
        </w:tc>
      </w:tr>
      <w:tr>
        <w:tc>
          <w:tcPr>
            <w:tcW w:type="dxa" w:w="5112"/>
            <w:vAlign w:val="center"/>
          </w:tcPr>
          <w:p>
            <w:r>
              <w:rPr>
                <w:sz w:val="16"/>
              </w:rPr>
              <w:t>4</w:t>
            </w:r>
          </w:p>
        </w:tc>
        <w:tc>
          <w:tcPr>
            <w:tcW w:type="dxa" w:w="5112"/>
            <w:vAlign w:val="center"/>
          </w:tcPr>
          <w:p>
            <w:r>
              <w:rPr>
                <w:sz w:val="16"/>
              </w:rPr>
              <w:t>Crece Chain L2/appchain si escala y economía justifican infraestructura especializada.</w:t>
            </w:r>
          </w:p>
        </w:tc>
      </w:tr>
      <w:tr>
        <w:tc>
          <w:tcPr>
            <w:tcW w:type="dxa" w:w="5112"/>
            <w:vAlign w:val="center"/>
          </w:tcPr>
          <w:p>
            <w:r>
              <w:rPr>
                <w:sz w:val="16"/>
              </w:rPr>
              <w:t>5</w:t>
            </w:r>
          </w:p>
        </w:tc>
        <w:tc>
          <w:tcPr>
            <w:tcW w:type="dxa" w:w="5112"/>
            <w:vAlign w:val="center"/>
          </w:tcPr>
          <w:p>
            <w:r>
              <w:rPr>
                <w:sz w:val="16"/>
              </w:rPr>
              <w:t>Blockchain propia únicamente ante necesidad técnica/económica demostrada.</w:t>
            </w:r>
          </w:p>
        </w:tc>
      </w:tr>
    </w:tbl>
    <w:p>
      <w:r>
        <w:t>El escenario histórico de 1.000.000.000 $CRECE se conserva como hipótesis de modelado, no como supply definitivo aprobado.</w:t>
      </w:r>
    </w:p>
    <w:p>
      <w:pPr>
        <w:pStyle w:val="Heading1"/>
      </w:pPr>
      <w:r>
        <w:t>11. I+D y nuevas fronteras</w:t>
      </w:r>
    </w:p>
    <w:p>
      <w:r>
        <w:t>CRIS Lab comienza con IA, modelos, agentes, automatización, seguridad e infraestructura. A largo plazo puede explorar robótica, sistemas autónomos, dispositivos inteligentes y áreas científicas. Estas aspiraciones no se presentan como capacidades actuales; avanzan mediante investigación reproducible, talento, alianzas, financiación y viabilidad.</w:t>
      </w:r>
    </w:p>
    <w:p>
      <w:pPr>
        <w:pStyle w:val="Heading1"/>
      </w:pPr>
      <w:r>
        <w:t>12. Seguridad, privacidad y control humano</w:t>
      </w:r>
    </w:p>
    <w:p>
      <w:pPr>
        <w:pStyle w:val="ListBullet"/>
      </w:pPr>
      <w:r>
        <w:t>Datos sensibles, memoria, telemetría, datasets, credenciales, código y economía se mantienen en dominios separados.</w:t>
      </w:r>
    </w:p>
    <w:p>
      <w:pPr>
        <w:pStyle w:val="ListBullet"/>
      </w:pPr>
      <w:r>
        <w:t>Las acciones de alto impacto requieren controles deterministas y aprobación humana.</w:t>
      </w:r>
    </w:p>
    <w:p>
      <w:pPr>
        <w:pStyle w:val="ListBullet"/>
      </w:pPr>
      <w:r>
        <w:t>Los datos de usuarios no se convierten automáticamente en datasets.</w:t>
      </w:r>
    </w:p>
    <w:p>
      <w:pPr>
        <w:pStyle w:val="ListBullet"/>
      </w:pPr>
      <w:r>
        <w:t>Sandbox, staging, backups, restore, observabilidad y auditoría preceden operaciones críticas.</w:t>
      </w:r>
    </w:p>
    <w:p>
      <w:pPr>
        <w:pStyle w:val="Heading1"/>
      </w:pPr>
      <w:r>
        <w:t>13. Qué existe hoy y qué pertenece al futuro</w:t>
      </w:r>
    </w:p>
    <w:p>
      <w:r>
        <w:t>Crece IA comunica con una regla simple: AUDITADO ≠ IMPLEMENTADO. La plataforma, CRIS, Telegram, Native, Builder, Marketplace, Web3 y demás componentes se encuentran en distintos niveles. La Landing debe identificar con claridad ACTUAL, EN DESARROLLO, ROADMAP y VISIÓN FUTURA.</w:t>
      </w:r>
    </w:p>
    <w:p>
      <w:pPr>
        <w:pStyle w:val="Heading1"/>
      </w:pPr>
      <w:r>
        <w:t>14. Cómo mediremos el éxito</w:t>
      </w:r>
    </w:p>
    <w:p>
      <w:pPr>
        <w:pStyle w:val="ListBullet"/>
      </w:pPr>
      <w:r>
        <w:t>Problemas reales resueltos y resultados aceptados.</w:t>
      </w:r>
    </w:p>
    <w:p>
      <w:pPr>
        <w:pStyle w:val="ListBullet"/>
      </w:pPr>
      <w:r>
        <w:t>Retención y utilidad, no solo adquisición.</w:t>
      </w:r>
    </w:p>
    <w:p>
      <w:pPr>
        <w:pStyle w:val="ListBullet"/>
      </w:pPr>
      <w:r>
        <w:t>Contribuciones aprobadas y reputación confiable.</w:t>
      </w:r>
    </w:p>
    <w:p>
      <w:pPr>
        <w:pStyle w:val="ListBullet"/>
      </w:pPr>
      <w:r>
        <w:t>Desarrolladores construyendo productos útiles.</w:t>
      </w:r>
    </w:p>
    <w:p>
      <w:pPr>
        <w:pStyle w:val="ListBullet"/>
      </w:pPr>
      <w:r>
        <w:t>Empresas con outcomes verificables.</w:t>
      </w:r>
    </w:p>
    <w:p>
      <w:pPr>
        <w:pStyle w:val="ListBullet"/>
      </w:pPr>
      <w:r>
        <w:t>Economía sostenible y auditable.</w:t>
      </w:r>
    </w:p>
    <w:p>
      <w:pPr>
        <w:pStyle w:val="ListBullet"/>
      </w:pPr>
      <w:r>
        <w:t>Mayor soberanía tecnológica sin sacrificar calidad.</w:t>
      </w:r>
    </w:p>
    <w:p>
      <w:pPr>
        <w:pStyle w:val="ListBullet"/>
      </w:pPr>
      <w:r>
        <w:t>Seguridad, continuidad y capacidad institucional de trascender generaciones.</w:t>
      </w:r>
    </w:p>
    <w:p>
      <w:pPr>
        <w:pStyle w:val="Heading1"/>
      </w:pPr>
      <w:r>
        <w:t>15. Nota estratégica y de riesgo</w:t>
      </w:r>
    </w:p>
    <w:p>
      <w:r>
        <w:t>Este Whitepaper describe visión y dirección. No constituye oferta de valores, recomendación de inversión, promesa de rentabilidad, garantía de tokenización, precio, airdrop, liquidez ni compromiso de construir todas las fases. Cualquier token, financiación comunitaria, staking, gobernanza económica, Crece Chain o blockchain independiente requerirá diseño técnico, económico, de seguridad y jurídico específico.</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6675"/>
        <w:sz w:val="14"/>
      </w:rPr>
      <w:t>Crece IA · Documento de trabajo · 21 septiembre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E6675"/>
        <w:sz w:val="15"/>
      </w:rPr>
      <w:t>CRECE IA  |  WHITEPAPER V4.0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2457D6"/>
      <w:sz w:val="3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6D45D8"/>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17203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60"/>
      <w:contextualSpacing/>
    </w:pPr>
    <w:rPr>
      <w:rFonts w:asciiTheme="majorHAnsi" w:eastAsiaTheme="majorEastAsia" w:hAnsiTheme="majorHAnsi" w:cstheme="majorBidi" w:ascii="Aptos Display" w:hAnsi="Aptos Display"/>
      <w:b/>
      <w:color w:val="2457D6"/>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20" w:after="120"/>
      <w:ind w:left="259"/>
    </w:pPr>
    <w:rPr>
      <w:rFonts w:ascii="Aptos" w:hAnsi="Aptos"/>
      <w:b/>
      <w:color w:val="172033"/>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